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860DF2" w:rsidRDefault="00860DF2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68D8B" wp14:editId="2550D5A7">
                <wp:simplePos x="0" y="0"/>
                <wp:positionH relativeFrom="column">
                  <wp:posOffset>-508635</wp:posOffset>
                </wp:positionH>
                <wp:positionV relativeFrom="paragraph">
                  <wp:posOffset>360045</wp:posOffset>
                </wp:positionV>
                <wp:extent cx="4737100" cy="2856230"/>
                <wp:effectExtent l="0" t="0" r="25400" b="203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2856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7D4F" w:rsidRPr="005C7D4F" w:rsidRDefault="007F73C1" w:rsidP="005C7D4F">
                            <w:pPr>
                              <w:pStyle w:val="Puesto"/>
                              <w:jc w:val="right"/>
                              <w:rPr>
                                <w:cap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60"/>
                                  <w:szCs w:val="60"/>
                                </w:rPr>
                                <w:alias w:val="Título"/>
                                <w:id w:val="-518936831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C7D4F" w:rsidRPr="005C7D4F">
                                  <w:rPr>
                                    <w:caps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C7D4F" w:rsidRPr="005C7D4F">
                              <w:rPr>
                                <w:cap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Informe de gestión trimestre enero-marzo 2018 de la oficina de libre acceso a la información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668D8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40.05pt;margin-top:28.35pt;width:373pt;height:2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LOSAIAAIEEAAAOAAAAZHJzL2Uyb0RvYy54bWysVE1v2zAMvQ/YfxB0X+x8d0acIkuRYUDQ&#10;FkiHnhVZjoXJoiYpsbNfP0p20qDbadhFochninyPzOK+rRU5Cesk6JwOByklQnMopD7k9PvL5tMd&#10;Jc4zXTAFWuT0LBy9X378sGhMJkZQgSqEJZhEu6wxOa28N1mSOF6JmrkBGKExWIKtmcerPSSFZQ1m&#10;r1UyStNZ0oAtjAUunEPvQxeky5i/LAX3T2XphCcqp1ibj6eN5z6cyXLBsoNlppK8L4P9QxU1kxof&#10;vaZ6YJ6Ro5V/pKolt+Cg9AMOdQJlKbmIPWA3w/RdN7uKGRF7QXKcudLk/l9a/nh6tkQWOZ1TolmN&#10;Eq2PrLBACkG8aD2QeSCpMS5D7M4g2rdfoEWxL36HztB7W9o6/GJXBONI9/lKMWYiHJ2T+Xg+TDHE&#10;MTa6m85G4yhC8va5sc5/FVCTYOTUooaRWnbaOo+lIPQCCa9p2Eiloo5Kkyans/E0jR84ULIIwQAL&#10;n6yVJSeGk7BXjP8I5WOuGxTelEZnaLZrKli+3bc9A3sozkiAhW6OnOEbiXm3zPlnZnFwsDFcBv+E&#10;R6kAi4HeoqQC++tv/oBHPTFKSYODmFP388isoER906j05+FkEiY3XibT+Qgv9jayv43oY70G7HCI&#10;a2d4NAPeq4tZWqhfcWdW4VUMMc3x7Zz6i7n23XrgznGxWkUQzqphfqt3hofUFz5f2ldmTa9TGJZH&#10;uIwsy97J1WE7wVZHD6WMWgaCO1Z73nHOoyz9ToZFur1H1Ns/x/I3AAAA//8DAFBLAwQUAAYACAAA&#10;ACEA+q8fEuEAAAAKAQAADwAAAGRycy9kb3ducmV2LnhtbEyPwU7DMAyG70i8Q2QkblsypHZbaToh&#10;xA5ICImB2I5pY5qKxClN1hWenuwER9uffn9/uZmcZSMOofMkYTEXwJAarztqJby9bmcrYCEq0sp6&#10;QgnfGGBTXV6UqtD+RC847mLLUgiFQkkwMfYF56Ex6FSY+x4p3T784FRM49ByPahTCneW3wiRc6c6&#10;Sh+M6vHeYPO5OzoJT+/7r4ft80HssbZdNtqlefyppby+mu5ugUWc4h8MZ/2kDlVyqv2RdGBWwmwl&#10;FgmVkOVLYAnI82wNrE4LkWfAq5L/r1D9AgAA//8DAFBLAQItABQABgAIAAAAIQC2gziS/gAAAOEB&#10;AAATAAAAAAAAAAAAAAAAAAAAAABbQ29udGVudF9UeXBlc10ueG1sUEsBAi0AFAAGAAgAAAAhADj9&#10;If/WAAAAlAEAAAsAAAAAAAAAAAAAAAAALwEAAF9yZWxzLy5yZWxzUEsBAi0AFAAGAAgAAAAhALmy&#10;0s5IAgAAgQQAAA4AAAAAAAAAAAAAAAAALgIAAGRycy9lMm9Eb2MueG1sUEsBAi0AFAAGAAgAAAAh&#10;APqvHxLhAAAACgEAAA8AAAAAAAAAAAAAAAAAogQAAGRycy9kb3ducmV2LnhtbFBLBQYAAAAABAAE&#10;APMAAACwBQAAAAA=&#10;" filled="f" strokeweight=".5pt">
                <v:textbox>
                  <w:txbxContent>
                    <w:p w:rsidR="005C7D4F" w:rsidRPr="005C7D4F" w:rsidRDefault="002E7184" w:rsidP="005C7D4F">
                      <w:pPr>
                        <w:pStyle w:val="Puesto"/>
                        <w:jc w:val="right"/>
                        <w:rPr>
                          <w:caps/>
                          <w:color w:val="FFFFFF" w:themeColor="background1"/>
                          <w:sz w:val="60"/>
                          <w:szCs w:val="60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60"/>
                            <w:szCs w:val="60"/>
                          </w:rPr>
                          <w:alias w:val="Título"/>
                          <w:id w:val="-518936831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5C7D4F" w:rsidRPr="005C7D4F">
                            <w:rPr>
                              <w:caps/>
                              <w:color w:val="FFFFFF" w:themeColor="background1"/>
                              <w:sz w:val="60"/>
                              <w:szCs w:val="60"/>
                            </w:rPr>
                            <w:t xml:space="preserve">     </w:t>
                          </w:r>
                        </w:sdtContent>
                      </w:sdt>
                      <w:r w:rsidR="005C7D4F" w:rsidRPr="005C7D4F">
                        <w:rPr>
                          <w:caps/>
                          <w:color w:val="FFFFFF" w:themeColor="background1"/>
                          <w:sz w:val="60"/>
                          <w:szCs w:val="60"/>
                        </w:rPr>
                        <w:t xml:space="preserve">Informe de gestión trimestre enero-marzo 2018 de la oficina de libre acceso a la información </w:t>
                      </w:r>
                    </w:p>
                  </w:txbxContent>
                </v:textbox>
              </v:shape>
            </w:pict>
          </mc:Fallback>
        </mc:AlternateContent>
      </w: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5C7D4F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sdt>
      <w:sdtPr>
        <w:rPr>
          <w:rFonts w:cstheme="minorHAnsi"/>
        </w:rPr>
        <w:id w:val="-2071101687"/>
        <w:docPartObj>
          <w:docPartGallery w:val="Cover Pages"/>
          <w:docPartUnique/>
        </w:docPartObj>
      </w:sdtPr>
      <w:sdtEndPr/>
      <w:sdtContent>
        <w:p w:rsidR="005C7D4F" w:rsidRPr="00930311" w:rsidRDefault="005C7D4F" w:rsidP="005C7D4F">
          <w:pPr>
            <w:spacing w:line="276" w:lineRule="auto"/>
            <w:rPr>
              <w:rFonts w:cstheme="minorHAnsi"/>
            </w:rPr>
          </w:pPr>
          <w:r w:rsidRPr="00930311">
            <w:rPr>
              <w:rFonts w:cstheme="minorHAnsi"/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326D68" wp14:editId="039C022E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3175" b="381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ítulo"/>
                                  <w:id w:val="167144554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C7D4F" w:rsidRDefault="005C7D4F" w:rsidP="005C7D4F">
                                    <w:pPr>
                                      <w:pStyle w:val="Puesto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5C7D4F" w:rsidRDefault="005C7D4F" w:rsidP="005C7D4F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Descripción breve"/>
                                  <w:id w:val="-655231421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5C7D4F" w:rsidRDefault="005C7D4F" w:rsidP="005C7D4F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22326D68" id="Rectángulo 16" o:spid="_x0000_s1027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MACAIAAOwDAAAOAAAAZHJzL2Uyb0RvYy54bWysU9uO0zAQfUfiHyy/01x6o1HTFdpqEdIC&#10;KxY+wHWcxMKxzdhtUv6Gb+HHGDtN2YU3xIvl4xkfnzkz3t4MnSInAU4aXdJsllIiNDeV1E1Jv3y+&#10;e/WaEueZrpgyWpT0LBy92b18se1tIXLTGlUJIEiiXdHbkrbe2yJJHG9Fx9zMWKExWBvomEcITVIB&#10;65G9U0mepqukN1BZMFw4h6f7MUh3kb+uBfcf69oJT1RJUZuPK8T1ENZkt2VFA8y2kl9ksH9Q0TGp&#10;8dEr1Z55Ro4g/6LqJAfjTO1n3HSJqWvJRawBq8nSP6p5bJkVsRY0x9mrTe7/0fIPpwcgsirpYp1R&#10;olmHTfqEtv38oZujMiRbBY966wpMfbQPEKp09t7wrw4DybNIAA5zyKF/bypkYkdvoi9DDV24iRWT&#10;Idp/vtovBk84Hi7nq3meYZc4xjar5TxfxwYlrJiuW3D+rTAdCZuSAgqN9Ox073yQw4opJeo0SlZ3&#10;UqkIoDncKiAnhrOwyffpcmJ3T9OUDsnahGsj43iCKi9vTFWOtvjhMEQDs8mog6nO6AGYcdrwd+Cm&#10;NfCdkh4nraTu25GBoES909jKfL2Y52E2I9pki0WKCJ7FDhEtluuQyDRHtpJyDxO49eNMHy3IpsXn&#10;smiLNm+wAbWM1gTZo7RL23CkomOX8Q8z+xTHrN+fdPcLAAD//wMAUEsDBBQABgAIAAAAIQA5boE+&#10;2gAAAAYBAAAPAAAAZHJzL2Rvd25yZXYueG1sTI9BS8NAEIXvgv9hGcGb3RhiLDGbIgUF8WSr92ky&#10;TUJ3Z2N2m6b/3tGLvTwY3uO9b8rV7KyaaAy9ZwP3iwQUce2bnlsDn9uXuyWoEJEbtJ7JwJkCrKrr&#10;qxKLxp/4g6ZNbJWUcCjQQBfjUGgd6o4choUfiMXb+9FhlHNsdTPiScqd1WmS5Nphz7LQ4UDrjurD&#10;5ugMvL+u928O7XTOhq/t9+FR58FqY25v5ucnUJHm+B+GX3xBh0qYdv7ITVDWgDwS/1S8ZZbloHYS&#10;ekiTFHRV6kv86gcAAP//AwBQSwECLQAUAAYACAAAACEAtoM4kv4AAADhAQAAEwAAAAAAAAAAAAAA&#10;AAAAAAAAW0NvbnRlbnRfVHlwZXNdLnhtbFBLAQItABQABgAIAAAAIQA4/SH/1gAAAJQBAAALAAAA&#10;AAAAAAAAAAAAAC8BAABfcmVscy8ucmVsc1BLAQItABQABgAIAAAAIQBID8MACAIAAOwDAAAOAAAA&#10;AAAAAAAAAAAAAC4CAABkcnMvZTJvRG9jLnhtbFBLAQItABQABgAIAAAAIQA5boE+2gAAAAYBAAAP&#10;AAAAAAAAAAAAAAAAAGIEAABkcnMvZG93bnJldi54bWxQSwUGAAAAAAQABADzAAAAaQUAAAAA&#10;" fillcolor="#92d050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ítulo"/>
                            <w:id w:val="167144554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C7D4F" w:rsidRDefault="005C7D4F" w:rsidP="005C7D4F">
                              <w:pPr>
                                <w:pStyle w:val="Puesto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5C7D4F" w:rsidRDefault="005C7D4F" w:rsidP="005C7D4F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Descripción breve"/>
                            <w:id w:val="-655231421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5C7D4F" w:rsidRDefault="005C7D4F" w:rsidP="005C7D4F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30311">
            <w:rPr>
              <w:rFonts w:cstheme="minorHAnsi"/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5FAD45" wp14:editId="6B86F7C5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7D4F" w:rsidRDefault="005C7D4F" w:rsidP="005C7D4F">
                                <w:pPr>
                                  <w:pStyle w:val="Subttulo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theme="minorBidi"/>
                                    <w:noProof/>
                                    <w:color w:val="FFFFFF" w:themeColor="background1"/>
                                    <w:lang w:val="es-DO" w:eastAsia="es-DO"/>
                                  </w:rPr>
                                  <w:drawing>
                                    <wp:inline distT="0" distB="0" distL="0" distR="0" wp14:anchorId="2077525E" wp14:editId="1C9FB2CC">
                                      <wp:extent cx="1450975" cy="1751330"/>
                                      <wp:effectExtent l="0" t="0" r="0" b="1270"/>
                                      <wp:docPr id="6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logo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0975" cy="17513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ect w14:anchorId="425FAD45" id="Rectángulo 472" o:spid="_x0000_s1028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X9rwIAALwFAAAOAAAAZHJzL2Uyb0RvYy54bWysVN1u0zAUvkfiHSzfsyRl3Uq0dKo2DSFV&#10;Y9qGdu06dhPh+BjbbVLehmfhxTh2fujGxAUiF1aOz//n75yLy65RZC+sq0EXNDtJKRGaQ1nrbUG/&#10;PN68W1DiPNMlU6BFQQ/C0cvl2zcXrcnFDCpQpbAEg2iXt6aglfcmTxLHK9EwdwJGaFRKsA3zKNpt&#10;UlrWYvRGJbM0PUtasKWxwIVzeHvdK+kyxpdScP9ZSic8UQXF2nw8bTw34UyWFyzfWmaqmg9lsH+o&#10;omG1xqRTqGvmGdnZ+o9QTc0tOJD+hEOTgJQ1F7EH7CZLX3TzUDEjYi8IjjMTTO7/heW3+ztL6rKg&#10;p+czSjRr8JHuEbafP/R2p4CEawSpNS5H2wdzZ0ObzqyBf3WoSJ5pguAGm07aJthik6SLiB8mxEXn&#10;CcfLbLFIF+f4MBx1H87m80UW3yRh+ehurPMfBTQk/BTUYm0RabZfOx8KYPloEisDVZc3tVJRCDQS&#10;V8qSPUMCMM6F9u9DP+jlji2VDvYagmevDjexub6f2Jk/KBHslL4XElHDDmaxmMjXl4myXlWxUvT5&#10;5yl+Y/axtFhLDBgiS8w/xR4CjJbHTWRDmME+uIpI98k5/VthfYuTR8wM2k/OTa3BvhZA+Slzbz+C&#10;1EMTUPLdpouMmoizgfKALLPQj58z/KbGx1wz5++YxXlDAuAO8Z/xkAragsLwR0kF9vtr98EexwC1&#10;lLQ4vwV133bMCkrUJ40Dki1myC2c+Cidzs9nKNhnqs2xSu+aK0COZLivDI+/wcGr8VdaaJ5w2axC&#10;XlQxzTF7Qbm3o3Dl+82C64qL1Sqa4Zgb5tf6wfAQPCAd6PrYPTFrBk57HIdbGKed5S+o3dsGTw2r&#10;nQdZR94HrHtkhzfAFRHJNKyzsIOO5Wj1e+kufwEAAP//AwBQSwMEFAAGAAgAAAAhAFW3wFraAAAA&#10;BgEAAA8AAABkcnMvZG93bnJldi54bWxMjsFOwzAQRO9I/IO1SNyoQwROCXEqioS4IVpacd3GJgnY&#10;6xC7bfh7Fi5wWWk0T7OvWkzeiYMdYx9Iw+UsA2GpCaanVsPm5eFiDiImJIMukNXwZSMs6tOTCksT&#10;jrSyh3VqBY9QLFFDl9JQShmbznqMszBY4u4tjB4Tx7GVZsQjj3sn8yxT0mNP/KHDwd53tvlY772G&#10;bDkvVOGUfyrw0yy37vX96vlR6/Oz6e4WRLJT+oPhR5/VoWanXdiTicLxBnO/l7v8RuUgdgxd55kC&#10;WVfyv379DQAA//8DAFBLAQItABQABgAIAAAAIQC2gziS/gAAAOEBAAATAAAAAAAAAAAAAAAAAAAA&#10;AABbQ29udGVudF9UeXBlc10ueG1sUEsBAi0AFAAGAAgAAAAhADj9If/WAAAAlAEAAAsAAAAAAAAA&#10;AAAAAAAALwEAAF9yZWxzLy5yZWxzUEsBAi0AFAAGAAgAAAAhAJBv1f2vAgAAvAUAAA4AAAAAAAAA&#10;AAAAAAAALgIAAGRycy9lMm9Eb2MueG1sUEsBAi0AFAAGAAgAAAAhAFW3wFraAAAABgEAAA8AAAAA&#10;AAAAAAAAAAAACQUAAGRycy9kb3ducmV2LnhtbFBLBQYAAAAABAAEAPMAAAAQBgAAAAA=&#10;" fillcolor="#a5a5a5 [3206]" stroked="f" strokeweight="1pt">
                    <v:path arrowok="t"/>
                    <v:textbox inset="14.4pt,,14.4pt">
                      <w:txbxContent>
                        <w:p w:rsidR="005C7D4F" w:rsidRDefault="005C7D4F" w:rsidP="005C7D4F">
                          <w:pPr>
                            <w:pStyle w:val="Subttulo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Bidi"/>
                              <w:noProof/>
                              <w:color w:val="FFFFFF" w:themeColor="background1"/>
                              <w:lang w:val="es-DO" w:eastAsia="es-DO"/>
                            </w:rPr>
                            <w:drawing>
                              <wp:inline distT="0" distB="0" distL="0" distR="0" wp14:anchorId="2077525E" wp14:editId="1C9FB2CC">
                                <wp:extent cx="1450975" cy="1751330"/>
                                <wp:effectExtent l="0" t="0" r="0" b="127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0975" cy="1751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C7D4F" w:rsidRPr="00930311" w:rsidRDefault="005C7D4F" w:rsidP="005C7D4F">
          <w:pPr>
            <w:spacing w:line="276" w:lineRule="auto"/>
            <w:rPr>
              <w:rFonts w:cstheme="minorHAnsi"/>
            </w:rPr>
          </w:pPr>
        </w:p>
        <w:p w:rsidR="00A63B87" w:rsidRDefault="00A63B87" w:rsidP="00A63B87">
          <w:pPr>
            <w:spacing w:line="276" w:lineRule="auto"/>
            <w:rPr>
              <w:rFonts w:cstheme="minorHAnsi"/>
            </w:rPr>
          </w:pPr>
        </w:p>
        <w:p w:rsidR="005C7D4F" w:rsidRPr="00A63B87" w:rsidRDefault="007F73C1" w:rsidP="00A63B87">
          <w:pPr>
            <w:spacing w:line="276" w:lineRule="auto"/>
            <w:rPr>
              <w:rFonts w:cstheme="minorHAnsi"/>
            </w:rPr>
          </w:pPr>
        </w:p>
      </w:sdtContent>
    </w:sdt>
    <w:p w:rsidR="005C7D4F" w:rsidRPr="009C2E8A" w:rsidRDefault="005C7D4F" w:rsidP="00860DF2">
      <w:pPr>
        <w:spacing w:after="200" w:line="276" w:lineRule="auto"/>
        <w:rPr>
          <w:b/>
          <w:sz w:val="24"/>
          <w:szCs w:val="24"/>
          <w:u w:val="single"/>
        </w:rPr>
      </w:pPr>
    </w:p>
    <w:p w:rsidR="00860DF2" w:rsidRPr="009C2E8A" w:rsidRDefault="00860DF2" w:rsidP="00860DF2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</w:pPr>
      <w:r w:rsidRPr="009C2E8A">
        <w:rPr>
          <w:rFonts w:asciiTheme="majorHAnsi" w:eastAsiaTheme="majorEastAsia" w:hAnsiTheme="majorHAnsi" w:cstheme="majorBidi"/>
          <w:color w:val="1F4E79" w:themeColor="accent1" w:themeShade="80"/>
          <w:spacing w:val="5"/>
          <w:kern w:val="28"/>
          <w:sz w:val="32"/>
          <w:szCs w:val="32"/>
        </w:rPr>
        <w:lastRenderedPageBreak/>
        <w:t>Seguro Nacional de Salud (SeNaSa)</w:t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002060"/>
          <w:sz w:val="28"/>
          <w:szCs w:val="28"/>
        </w:rPr>
        <w:br/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 xml:space="preserve">Informe Trimestral de Gestión de la Oficina de Acceso a la Información Durante el Periodo </w:t>
      </w: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Enero</w:t>
      </w:r>
      <w:r w:rsidRPr="009C2E8A"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–</w:t>
      </w:r>
      <w:r>
        <w:rPr>
          <w:rFonts w:asciiTheme="majorHAnsi" w:eastAsiaTheme="majorEastAsia" w:hAnsiTheme="majorHAnsi" w:cstheme="majorBidi"/>
          <w:b/>
          <w:bCs/>
          <w:i/>
          <w:iCs/>
          <w:color w:val="767171" w:themeColor="background2" w:themeShade="80"/>
          <w:spacing w:val="5"/>
          <w:kern w:val="28"/>
          <w:sz w:val="32"/>
          <w:szCs w:val="32"/>
        </w:rPr>
        <w:t>Marzo 2018</w:t>
      </w:r>
    </w:p>
    <w:p w:rsidR="00860DF2" w:rsidRPr="005E406D" w:rsidRDefault="00860DF2" w:rsidP="00860DF2">
      <w:pPr>
        <w:spacing w:after="200" w:line="276" w:lineRule="auto"/>
        <w:contextualSpacing/>
        <w:jc w:val="both"/>
        <w:rPr>
          <w:u w:val="single"/>
        </w:rPr>
      </w:pPr>
      <w:r>
        <w:rPr>
          <w:b/>
          <w:sz w:val="32"/>
        </w:rPr>
        <w:t xml:space="preserve">                                   </w:t>
      </w:r>
      <w:r w:rsidRPr="005E406D">
        <w:rPr>
          <w:b/>
          <w:sz w:val="32"/>
        </w:rPr>
        <w:t xml:space="preserve"> </w:t>
      </w:r>
      <w:r w:rsidRPr="005E406D">
        <w:rPr>
          <w:b/>
          <w:sz w:val="32"/>
          <w:u w:val="single"/>
        </w:rPr>
        <w:t>Acceso a la Información</w:t>
      </w:r>
    </w:p>
    <w:p w:rsidR="00C73A87" w:rsidRDefault="00C73A87" w:rsidP="0086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00B75" w:rsidRDefault="00D00B75" w:rsidP="00D00B75">
      <w:pPr>
        <w:spacing w:after="200" w:line="276" w:lineRule="auto"/>
        <w:jc w:val="both"/>
        <w:rPr>
          <w:color w:val="000000" w:themeColor="text1"/>
        </w:rPr>
      </w:pPr>
      <w:r>
        <w:t>Conforme al Registro de Solicitudes de Información Pública, en la Oficina de Acceso a la Información en el primer trimestre del año del 2018 fueron tramitadas 21 solicitudes de información pública, de las cuales 5 corresponden al mes de enero; 5 al mes de febrero y 11 al mes de marzo.  Según el registro de Solicitudes de Informacion Pública, de estas 21 solicitudes 21 fueron completadas.</w:t>
      </w:r>
    </w:p>
    <w:p w:rsidR="00D00B75" w:rsidRDefault="00D00B75" w:rsidP="00860DF2">
      <w:pPr>
        <w:spacing w:after="0" w:line="240" w:lineRule="auto"/>
      </w:pPr>
    </w:p>
    <w:p w:rsidR="00860DF2" w:rsidRPr="009C2E8A" w:rsidRDefault="00A9188D" w:rsidP="0086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>
        <w:rPr>
          <w:noProof/>
          <w:lang w:eastAsia="es-DO"/>
        </w:rPr>
        <w:drawing>
          <wp:inline distT="0" distB="0" distL="0" distR="0" wp14:anchorId="562A4840" wp14:editId="54D5D928">
            <wp:extent cx="5362575" cy="2805430"/>
            <wp:effectExtent l="0" t="0" r="9525" b="139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0DF2" w:rsidRPr="009C2E8A" w:rsidRDefault="00860DF2" w:rsidP="0086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860DF2" w:rsidRPr="009C2E8A" w:rsidRDefault="00860DF2" w:rsidP="0086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860DF2" w:rsidRPr="009C2E8A" w:rsidRDefault="00860DF2" w:rsidP="00860DF2">
      <w:pPr>
        <w:spacing w:after="200" w:line="276" w:lineRule="auto"/>
        <w:jc w:val="both"/>
        <w:rPr>
          <w:color w:val="000000" w:themeColor="text1"/>
        </w:rPr>
      </w:pPr>
      <w:r>
        <w:t xml:space="preserve">Si comparamos el flujo de solicitudes recibidas en </w:t>
      </w:r>
      <w:r w:rsidR="00A63B87">
        <w:t>el primer trimestre</w:t>
      </w:r>
      <w:r>
        <w:t xml:space="preserve"> del 2017 con las tramitadas dura</w:t>
      </w:r>
      <w:r w:rsidR="00D00B75">
        <w:t>nte el primer trimestre del 2018</w:t>
      </w:r>
      <w:r>
        <w:t>, podemos notar que ha sido mayor la canti</w:t>
      </w:r>
      <w:r w:rsidR="00D00B75">
        <w:t xml:space="preserve">dad de solicitudes recibidas </w:t>
      </w:r>
      <w:r w:rsidR="00A63B87">
        <w:t xml:space="preserve">en este 2018 </w:t>
      </w:r>
      <w:r w:rsidR="00D00B75">
        <w:t>(21</w:t>
      </w:r>
      <w:r>
        <w:t xml:space="preserve"> vs. 14). </w:t>
      </w:r>
      <w:r w:rsidR="00D00B75">
        <w:rPr>
          <w:color w:val="000000" w:themeColor="text1"/>
        </w:rPr>
        <w:t>21</w:t>
      </w:r>
      <w:r w:rsidR="00A63B87">
        <w:rPr>
          <w:color w:val="000000" w:themeColor="text1"/>
        </w:rPr>
        <w:t xml:space="preserve"> fueron </w:t>
      </w:r>
      <w:r w:rsidRPr="009C2E8A">
        <w:rPr>
          <w:color w:val="000000" w:themeColor="text1"/>
        </w:rPr>
        <w:t>completadas. Respondidas en tiempo hábil superando el plazo l</w:t>
      </w:r>
      <w:r w:rsidR="00A63B87">
        <w:rPr>
          <w:color w:val="000000" w:themeColor="text1"/>
        </w:rPr>
        <w:t xml:space="preserve">egal para responder en un 100% </w:t>
      </w:r>
      <w:r w:rsidRPr="009C2E8A">
        <w:rPr>
          <w:color w:val="000000" w:themeColor="text1"/>
        </w:rPr>
        <w:t>en este trimestre entre</w:t>
      </w:r>
      <w:r w:rsidR="00D00B75">
        <w:rPr>
          <w:color w:val="000000" w:themeColor="text1"/>
        </w:rPr>
        <w:t>gando en un plazo promedio de 5</w:t>
      </w:r>
      <w:r w:rsidRPr="009C2E8A">
        <w:rPr>
          <w:color w:val="000000" w:themeColor="text1"/>
        </w:rPr>
        <w:t xml:space="preserve"> días.</w:t>
      </w:r>
    </w:p>
    <w:p w:rsidR="00860DF2" w:rsidRDefault="00860DF2" w:rsidP="00860DF2"/>
    <w:p w:rsidR="00860DF2" w:rsidRDefault="00860DF2" w:rsidP="00860DF2"/>
    <w:p w:rsidR="00860DF2" w:rsidRDefault="00860DF2" w:rsidP="00860DF2"/>
    <w:p w:rsidR="00CD16C6" w:rsidRDefault="00CD16C6" w:rsidP="00860DF2"/>
    <w:p w:rsidR="00CD16C6" w:rsidRDefault="00CD16C6" w:rsidP="00860DF2"/>
    <w:p w:rsidR="00CD16C6" w:rsidRDefault="00CD16C6" w:rsidP="00860DF2"/>
    <w:p w:rsidR="00860DF2" w:rsidRDefault="00860DF2" w:rsidP="00860DF2">
      <w:pPr>
        <w:spacing w:after="200" w:line="276" w:lineRule="auto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A63B87" w:rsidRPr="009C2E8A" w:rsidRDefault="00A63B87" w:rsidP="00860DF2">
      <w:pPr>
        <w:spacing w:after="200" w:line="276" w:lineRule="auto"/>
      </w:pPr>
    </w:p>
    <w:p w:rsidR="00860DF2" w:rsidRPr="009C2E8A" w:rsidRDefault="00860DF2" w:rsidP="00860DF2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>La Oficina de Acceso a la Información tiene la función de tramitar las solicitudes de información</w:t>
      </w:r>
      <w:r w:rsidR="00A63B87">
        <w:rPr>
          <w:lang w:val="es-ES"/>
        </w:rPr>
        <w:t xml:space="preserve"> </w:t>
      </w:r>
      <w:r w:rsidRPr="009C2E8A">
        <w:rPr>
          <w:lang w:val="es-ES"/>
        </w:rPr>
        <w:t xml:space="preserve">Pública y entregar la información completa, veraz, adecuada y oportunamente. Para ello, la Ley </w:t>
      </w:r>
      <w:r w:rsidR="00A63B87">
        <w:rPr>
          <w:lang w:val="es-ES"/>
        </w:rPr>
        <w:t xml:space="preserve">No. </w:t>
      </w:r>
      <w:r w:rsidRPr="009C2E8A">
        <w:rPr>
          <w:lang w:val="es-ES"/>
        </w:rPr>
        <w:t>200-04 establece en su artículo 8 que las solicitudes deberán ser respondidas dentro de los 15 días hábiles</w:t>
      </w:r>
      <w:r w:rsidR="00A63B87">
        <w:rPr>
          <w:lang w:val="es-ES"/>
        </w:rPr>
        <w:t>,</w:t>
      </w:r>
      <w:r w:rsidRPr="009C2E8A">
        <w:rPr>
          <w:lang w:val="es-ES"/>
        </w:rPr>
        <w:t xml:space="preserve"> prorrogables hasta 10 días adicionales.</w:t>
      </w:r>
    </w:p>
    <w:p w:rsidR="00860DF2" w:rsidRPr="009C2E8A" w:rsidRDefault="00F604E8" w:rsidP="00860DF2">
      <w:pPr>
        <w:spacing w:after="200" w:line="276" w:lineRule="auto"/>
      </w:pPr>
      <w:r>
        <w:t xml:space="preserve">           </w:t>
      </w:r>
      <w:r>
        <w:rPr>
          <w:noProof/>
          <w:lang w:eastAsia="es-DO"/>
        </w:rPr>
        <w:drawing>
          <wp:inline distT="0" distB="0" distL="0" distR="0" wp14:anchorId="0C361B18" wp14:editId="0BBD1BCB">
            <wp:extent cx="5534025" cy="27432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0DF2" w:rsidRPr="009C2E8A" w:rsidRDefault="00860DF2" w:rsidP="00860DF2">
      <w:pPr>
        <w:spacing w:after="0" w:line="240" w:lineRule="auto"/>
        <w:jc w:val="both"/>
      </w:pPr>
      <w:r w:rsidRPr="009C2E8A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        </w:t>
      </w:r>
    </w:p>
    <w:p w:rsidR="00860DF2" w:rsidRDefault="00860DF2" w:rsidP="00860DF2">
      <w:pPr>
        <w:spacing w:after="200" w:line="276" w:lineRule="auto"/>
        <w:jc w:val="both"/>
        <w:rPr>
          <w:lang w:val="es-ES"/>
        </w:rPr>
      </w:pPr>
      <w:r w:rsidRPr="009C2E8A">
        <w:rPr>
          <w:lang w:val="es-ES"/>
        </w:rPr>
        <w:t xml:space="preserve">Acorde al Registro de Solicitudes de Información Pública de </w:t>
      </w:r>
      <w:r w:rsidR="00F604E8">
        <w:rPr>
          <w:lang w:val="es-ES"/>
        </w:rPr>
        <w:t>la</w:t>
      </w:r>
      <w:r w:rsidR="0071097B">
        <w:rPr>
          <w:lang w:val="es-ES"/>
        </w:rPr>
        <w:t>s 21 solicitudes completadas, 14</w:t>
      </w:r>
      <w:r>
        <w:rPr>
          <w:lang w:val="es-ES"/>
        </w:rPr>
        <w:t xml:space="preserve"> fuero</w:t>
      </w:r>
      <w:r w:rsidRPr="009C2E8A">
        <w:rPr>
          <w:lang w:val="es-ES"/>
        </w:rPr>
        <w:t>n r</w:t>
      </w:r>
      <w:r>
        <w:rPr>
          <w:lang w:val="es-ES"/>
        </w:rPr>
        <w:t>e</w:t>
      </w:r>
      <w:r w:rsidR="00F604E8">
        <w:rPr>
          <w:lang w:val="es-ES"/>
        </w:rPr>
        <w:t xml:space="preserve">spondidas en </w:t>
      </w:r>
      <w:r w:rsidR="0071097B">
        <w:rPr>
          <w:lang w:val="es-ES"/>
        </w:rPr>
        <w:t>un plazo de 0 a 5 días; 4 entre 6 y 10 días; 2</w:t>
      </w:r>
      <w:r w:rsidRPr="009C2E8A">
        <w:rPr>
          <w:lang w:val="es-ES"/>
        </w:rPr>
        <w:t xml:space="preserve"> entre 10 y 15 días</w:t>
      </w:r>
      <w:r w:rsidR="0071097B">
        <w:rPr>
          <w:lang w:val="es-ES"/>
        </w:rPr>
        <w:t xml:space="preserve"> y una prórroga</w:t>
      </w:r>
      <w:r w:rsidRPr="009C2E8A">
        <w:rPr>
          <w:lang w:val="es-ES"/>
        </w:rPr>
        <w:t xml:space="preserve">; Como puede verse, la totalidad de las solicitudes fueron respondidas en el plazo legal. Durante este período </w:t>
      </w:r>
      <w:r w:rsidR="00F604E8">
        <w:rPr>
          <w:lang w:val="es-ES"/>
        </w:rPr>
        <w:t>no</w:t>
      </w:r>
      <w:r>
        <w:rPr>
          <w:lang w:val="es-ES"/>
        </w:rPr>
        <w:t xml:space="preserve"> </w:t>
      </w:r>
      <w:r w:rsidRPr="009C2E8A">
        <w:rPr>
          <w:lang w:val="es-ES"/>
        </w:rPr>
        <w:t>hubo</w:t>
      </w:r>
      <w:r>
        <w:rPr>
          <w:lang w:val="es-ES"/>
        </w:rPr>
        <w:t xml:space="preserve"> </w:t>
      </w:r>
      <w:r w:rsidR="0071097B">
        <w:rPr>
          <w:lang w:val="es-ES"/>
        </w:rPr>
        <w:t>solicitudes r</w:t>
      </w:r>
      <w:r>
        <w:rPr>
          <w:lang w:val="es-ES"/>
        </w:rPr>
        <w:t>echazada</w:t>
      </w:r>
      <w:r w:rsidR="0071097B">
        <w:rPr>
          <w:lang w:val="es-ES"/>
        </w:rPr>
        <w:t>s</w:t>
      </w:r>
      <w:r>
        <w:rPr>
          <w:lang w:val="es-ES"/>
        </w:rPr>
        <w:t xml:space="preserve"> y el 100</w:t>
      </w:r>
      <w:r w:rsidRPr="009C2E8A">
        <w:rPr>
          <w:lang w:val="es-ES"/>
        </w:rPr>
        <w:t>% de las solicitudes fue respondido en menos de 15 días.</w:t>
      </w:r>
      <w:r w:rsidR="0071097B">
        <w:rPr>
          <w:lang w:val="es-ES"/>
        </w:rPr>
        <w:t xml:space="preserve"> </w:t>
      </w:r>
    </w:p>
    <w:p w:rsidR="0071097B" w:rsidRDefault="0071097B" w:rsidP="00860DF2">
      <w:pPr>
        <w:spacing w:after="200" w:line="276" w:lineRule="auto"/>
        <w:jc w:val="both"/>
        <w:rPr>
          <w:lang w:val="es-ES"/>
        </w:rPr>
      </w:pPr>
    </w:p>
    <w:p w:rsidR="00860DF2" w:rsidRPr="009C2E8A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Pr="009C2E8A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Pr="009C2E8A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Default="00860DF2" w:rsidP="00860DF2">
      <w:pPr>
        <w:spacing w:after="200" w:line="276" w:lineRule="auto"/>
        <w:jc w:val="both"/>
        <w:rPr>
          <w:lang w:val="es-ES"/>
        </w:rPr>
      </w:pPr>
    </w:p>
    <w:p w:rsidR="00860DF2" w:rsidRDefault="00860DF2" w:rsidP="0071097B">
      <w:pPr>
        <w:pBdr>
          <w:bottom w:val="single" w:sz="8" w:space="4" w:color="5B9BD5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860DF2" w:rsidRDefault="00860DF2" w:rsidP="00860DF2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</w:p>
    <w:p w:rsidR="00860DF2" w:rsidRPr="009C2E8A" w:rsidRDefault="00860DF2" w:rsidP="00860DF2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</w:pPr>
      <w:r w:rsidRPr="009C2E8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28"/>
          <w:szCs w:val="28"/>
        </w:rPr>
        <w:t>Información solicitada a la Oficina de Acceso a la información</w:t>
      </w:r>
    </w:p>
    <w:p w:rsidR="00860DF2" w:rsidRPr="009C2E8A" w:rsidRDefault="00860DF2" w:rsidP="0086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860DF2" w:rsidRPr="009C2E8A" w:rsidRDefault="00D6098D" w:rsidP="00860DF2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lang w:eastAsia="es-DO"/>
        </w:rPr>
      </w:pPr>
      <w:r>
        <w:rPr>
          <w:rFonts w:ascii="Calibri" w:eastAsia="Times New Roman" w:hAnsi="Calibri" w:cs="Times New Roman"/>
          <w:color w:val="000000"/>
          <w:lang w:eastAsia="es-DO"/>
        </w:rPr>
        <w:t xml:space="preserve">    </w:t>
      </w:r>
      <w:r>
        <w:rPr>
          <w:noProof/>
          <w:lang w:eastAsia="es-DO"/>
        </w:rPr>
        <w:drawing>
          <wp:inline distT="0" distB="0" distL="0" distR="0" wp14:anchorId="2D64555A" wp14:editId="7AF9173A">
            <wp:extent cx="52578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0DF2" w:rsidRPr="009C2E8A" w:rsidRDefault="00860DF2" w:rsidP="00860DF2">
      <w:pPr>
        <w:spacing w:after="200" w:line="276" w:lineRule="auto"/>
      </w:pPr>
    </w:p>
    <w:p w:rsidR="00860DF2" w:rsidRPr="009C2E8A" w:rsidRDefault="00860DF2" w:rsidP="00860DF2">
      <w:pPr>
        <w:spacing w:after="200" w:line="360" w:lineRule="auto"/>
        <w:jc w:val="both"/>
        <w:rPr>
          <w:lang w:val="es-ES"/>
        </w:rPr>
      </w:pPr>
      <w:r w:rsidRPr="009C2E8A">
        <w:rPr>
          <w:lang w:val="es-ES"/>
        </w:rPr>
        <w:t>Lo que se refleja en esta gráfica es que de acuerdo al Registro de Solicit</w:t>
      </w:r>
      <w:r>
        <w:rPr>
          <w:lang w:val="es-ES"/>
        </w:rPr>
        <w:t>u</w:t>
      </w:r>
      <w:r w:rsidR="00D6098D">
        <w:rPr>
          <w:lang w:val="es-ES"/>
        </w:rPr>
        <w:t>des de Información Pública de 21</w:t>
      </w:r>
      <w:r w:rsidRPr="009C2E8A">
        <w:rPr>
          <w:lang w:val="es-ES"/>
        </w:rPr>
        <w:t xml:space="preserve"> solicitu</w:t>
      </w:r>
      <w:r>
        <w:rPr>
          <w:lang w:val="es-ES"/>
        </w:rPr>
        <w:t xml:space="preserve">des de información tramitadas, </w:t>
      </w:r>
      <w:r w:rsidR="00D6098D">
        <w:rPr>
          <w:lang w:val="es-ES"/>
        </w:rPr>
        <w:t>4</w:t>
      </w:r>
      <w:r w:rsidRPr="009C2E8A">
        <w:rPr>
          <w:lang w:val="es-ES"/>
        </w:rPr>
        <w:t xml:space="preserve"> solicitudes corresponden a información institucional que representa un porcentaje de </w:t>
      </w:r>
      <w:r w:rsidR="00D6098D">
        <w:rPr>
          <w:lang w:val="es-ES"/>
        </w:rPr>
        <w:t>19</w:t>
      </w:r>
      <w:r>
        <w:rPr>
          <w:lang w:val="es-ES"/>
        </w:rPr>
        <w:t xml:space="preserve">%; </w:t>
      </w:r>
      <w:r w:rsidR="00D6098D" w:rsidRPr="00B67860">
        <w:rPr>
          <w:lang w:val="es-ES"/>
        </w:rPr>
        <w:t>3</w:t>
      </w:r>
      <w:r w:rsidRPr="00B67860">
        <w:rPr>
          <w:lang w:val="es-ES"/>
        </w:rPr>
        <w:t xml:space="preserve"> solicitudes cantidad de afiliados en el régimen Subsidiado y Contributivo para un</w:t>
      </w:r>
      <w:r w:rsidR="00B67860">
        <w:rPr>
          <w:lang w:val="es-ES"/>
        </w:rPr>
        <w:t xml:space="preserve"> </w:t>
      </w:r>
      <w:r w:rsidR="00B67860" w:rsidRPr="00B67860">
        <w:rPr>
          <w:lang w:val="es-ES"/>
        </w:rPr>
        <w:t>18</w:t>
      </w:r>
      <w:r w:rsidRPr="00B67860">
        <w:rPr>
          <w:lang w:val="es-ES"/>
        </w:rPr>
        <w:t>%.;</w:t>
      </w:r>
      <w:r w:rsidRPr="009C2E8A">
        <w:rPr>
          <w:lang w:val="es-ES"/>
        </w:rPr>
        <w:t xml:space="preserve"> </w:t>
      </w:r>
      <w:r w:rsidR="00D6098D">
        <w:rPr>
          <w:lang w:val="es-ES"/>
        </w:rPr>
        <w:t>1</w:t>
      </w:r>
      <w:r w:rsidRPr="009C2E8A">
        <w:rPr>
          <w:lang w:val="es-ES"/>
        </w:rPr>
        <w:t xml:space="preserve"> solicitud corresponde a demanda de servicios de Salud que representa un </w:t>
      </w:r>
      <w:r w:rsidR="00D6098D">
        <w:rPr>
          <w:lang w:val="es-ES"/>
        </w:rPr>
        <w:t>5%;  4 corresponde a informaciones Financiera</w:t>
      </w:r>
      <w:r w:rsidRPr="009C2E8A">
        <w:rPr>
          <w:lang w:val="es-ES"/>
        </w:rPr>
        <w:t xml:space="preserve"> para un </w:t>
      </w:r>
      <w:r w:rsidR="00D6098D">
        <w:rPr>
          <w:lang w:val="es-ES"/>
        </w:rPr>
        <w:t>19%;  1 solicitud corresponde a informaciones de la Calidad para un 5%; 5 solicitudes corresponden a la gerencia de planificación para un 24%; 1 a la gerencia de comunicaciones para un 5%; y una corresponde a consultoría Jurídica para un 5%.</w:t>
      </w:r>
    </w:p>
    <w:p w:rsidR="00860DF2" w:rsidRPr="0071097B" w:rsidRDefault="00860DF2" w:rsidP="0071097B">
      <w:pPr>
        <w:spacing w:after="200" w:line="276" w:lineRule="auto"/>
        <w:ind w:left="360"/>
        <w:contextualSpacing/>
        <w:jc w:val="both"/>
        <w:rPr>
          <w:b/>
          <w:u w:val="single"/>
        </w:rPr>
      </w:pPr>
      <w:r w:rsidRPr="009C2E8A">
        <w:rPr>
          <w:b/>
          <w:sz w:val="32"/>
          <w:u w:val="single"/>
          <w:lang w:val="es-ES"/>
        </w:rPr>
        <w:t>Transparencia</w:t>
      </w:r>
    </w:p>
    <w:p w:rsidR="0071097B" w:rsidRPr="009C2E8A" w:rsidRDefault="0071097B" w:rsidP="0071097B">
      <w:pPr>
        <w:spacing w:after="200" w:line="276" w:lineRule="auto"/>
        <w:ind w:left="360"/>
        <w:contextualSpacing/>
        <w:jc w:val="both"/>
        <w:rPr>
          <w:b/>
          <w:u w:val="single"/>
        </w:rPr>
      </w:pPr>
    </w:p>
    <w:p w:rsidR="00860DF2" w:rsidRPr="009C2E8A" w:rsidRDefault="00860DF2" w:rsidP="00860DF2">
      <w:pPr>
        <w:spacing w:after="200" w:line="276" w:lineRule="auto"/>
        <w:jc w:val="both"/>
      </w:pPr>
      <w:r w:rsidRPr="009C2E8A">
        <w:t xml:space="preserve">Durante este trimestre el portal de Transparencia de SeNaSa ha sido evaluado por la Dirección General de Ética e Integridad Gubernamental </w:t>
      </w:r>
      <w:r w:rsidR="0071097B">
        <w:t xml:space="preserve">DIGEIG </w:t>
      </w:r>
      <w:r w:rsidRPr="009C2E8A">
        <w:t xml:space="preserve">en los meses de </w:t>
      </w:r>
      <w:r w:rsidR="007619AD">
        <w:t>enero</w:t>
      </w:r>
      <w:r>
        <w:t xml:space="preserve">, </w:t>
      </w:r>
      <w:r w:rsidR="0071097B">
        <w:t>febrero y</w:t>
      </w:r>
      <w:r w:rsidRPr="009C2E8A">
        <w:t xml:space="preserve"> </w:t>
      </w:r>
      <w:r w:rsidR="0071097B">
        <w:t>marzo 2018</w:t>
      </w:r>
      <w:r w:rsidRPr="009C2E8A">
        <w:t>.</w:t>
      </w:r>
    </w:p>
    <w:p w:rsidR="00860DF2" w:rsidRPr="009C2E8A" w:rsidRDefault="00860DF2" w:rsidP="00860DF2">
      <w:pPr>
        <w:spacing w:after="200" w:line="276" w:lineRule="auto"/>
        <w:jc w:val="both"/>
      </w:pPr>
      <w:r w:rsidRPr="009C2E8A">
        <w:t xml:space="preserve">Logrando </w:t>
      </w:r>
      <w:r w:rsidRPr="009C2E8A">
        <w:rPr>
          <w:b/>
        </w:rPr>
        <w:t>una calificación de 100%</w:t>
      </w:r>
      <w:r w:rsidRPr="009C2E8A">
        <w:t xml:space="preserve"> de cumplimiento en las informaciones que deben ser publicadas de conformidad con la Ley </w:t>
      </w:r>
      <w:r w:rsidR="0071097B">
        <w:t xml:space="preserve">No. </w:t>
      </w:r>
      <w:r w:rsidRPr="009C2E8A">
        <w:t>200-04.</w:t>
      </w:r>
    </w:p>
    <w:p w:rsidR="00860DF2" w:rsidRDefault="00860DF2" w:rsidP="00860DF2">
      <w:pPr>
        <w:spacing w:after="200" w:line="276" w:lineRule="auto"/>
        <w:jc w:val="both"/>
        <w:rPr>
          <w:b/>
        </w:rPr>
      </w:pPr>
    </w:p>
    <w:p w:rsidR="007619AD" w:rsidRDefault="007619AD" w:rsidP="00860DF2">
      <w:pPr>
        <w:spacing w:after="200" w:line="276" w:lineRule="auto"/>
        <w:jc w:val="both"/>
        <w:rPr>
          <w:b/>
        </w:rPr>
      </w:pPr>
    </w:p>
    <w:p w:rsidR="007619AD" w:rsidRDefault="007619AD" w:rsidP="007619AD">
      <w:pPr>
        <w:spacing w:line="252" w:lineRule="auto"/>
        <w:rPr>
          <w:lang w:val="es-ES"/>
        </w:rPr>
      </w:pPr>
    </w:p>
    <w:p w:rsidR="007619AD" w:rsidRPr="007619AD" w:rsidRDefault="007619AD" w:rsidP="007619AD">
      <w:pPr>
        <w:pStyle w:val="Prrafodelista"/>
        <w:numPr>
          <w:ilvl w:val="0"/>
          <w:numId w:val="2"/>
        </w:numPr>
        <w:spacing w:line="252" w:lineRule="auto"/>
        <w:rPr>
          <w:b/>
          <w:u w:val="single"/>
          <w:lang w:val="es-ES"/>
        </w:rPr>
      </w:pPr>
      <w:r w:rsidRPr="007619AD">
        <w:rPr>
          <w:b/>
          <w:u w:val="single"/>
          <w:lang w:val="es-ES"/>
        </w:rPr>
        <w:lastRenderedPageBreak/>
        <w:t xml:space="preserve">Sistema 311, Quejas, Sugerencias y Reclamos </w:t>
      </w:r>
    </w:p>
    <w:p w:rsidR="007619AD" w:rsidRDefault="007619AD" w:rsidP="00CD16C6">
      <w:pPr>
        <w:spacing w:line="252" w:lineRule="auto"/>
        <w:rPr>
          <w:lang w:val="es-ES"/>
        </w:rPr>
      </w:pPr>
      <w:r w:rsidRPr="007619AD">
        <w:rPr>
          <w:lang w:val="es-ES"/>
        </w:rPr>
        <w:t>Durante este trimestres se registraron 3 casos en el Sistema  de los cuales tenemos 1 reclamación y 3 quejas. Todas respondidas dentro del plazo legal de 15 días ordinarios.</w:t>
      </w:r>
    </w:p>
    <w:p w:rsidR="0071097B" w:rsidRPr="00CD16C6" w:rsidRDefault="0071097B" w:rsidP="00CD16C6">
      <w:pPr>
        <w:spacing w:line="252" w:lineRule="auto"/>
        <w:rPr>
          <w:lang w:val="es-ES"/>
        </w:rPr>
      </w:pPr>
    </w:p>
    <w:p w:rsidR="007619AD" w:rsidRPr="00372B2F" w:rsidRDefault="00372B2F" w:rsidP="00372B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b/>
          <w:u w:val="single"/>
        </w:rPr>
      </w:pPr>
      <w:r w:rsidRPr="00372B2F">
        <w:rPr>
          <w:b/>
          <w:u w:val="single"/>
        </w:rPr>
        <w:t xml:space="preserve">Gobierno Abierto </w:t>
      </w:r>
    </w:p>
    <w:p w:rsidR="007619AD" w:rsidRDefault="00914B49" w:rsidP="00860DF2">
      <w:pPr>
        <w:spacing w:after="200" w:line="276" w:lineRule="auto"/>
        <w:jc w:val="both"/>
      </w:pPr>
      <w:r w:rsidRPr="00914B49">
        <w:t>Durante este</w:t>
      </w:r>
      <w:r>
        <w:t xml:space="preserve"> trimestre fueron actualizadas mensualmente las informaciones publicadas en el portal de Datos Abiertos Dominicano como cobertura de Servicios de Salud de Régimen Subsidiado, Cartera </w:t>
      </w:r>
      <w:r w:rsidR="0071097B">
        <w:t>de afiliados Régimen Subsidiado y</w:t>
      </w:r>
      <w:r>
        <w:t xml:space="preserve"> </w:t>
      </w:r>
      <w:r w:rsidR="0071097B">
        <w:t>Cobertura Servicios</w:t>
      </w:r>
      <w:r>
        <w:t xml:space="preserve"> por Especialidad. </w:t>
      </w:r>
    </w:p>
    <w:p w:rsidR="0071097B" w:rsidRPr="00914B49" w:rsidRDefault="0071097B" w:rsidP="00860DF2">
      <w:pPr>
        <w:spacing w:after="200" w:line="276" w:lineRule="auto"/>
        <w:jc w:val="both"/>
      </w:pPr>
    </w:p>
    <w:p w:rsidR="00372B2F" w:rsidRDefault="00372B2F" w:rsidP="00914B4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b/>
          <w:u w:val="single"/>
        </w:rPr>
      </w:pPr>
      <w:r w:rsidRPr="00914B49">
        <w:rPr>
          <w:b/>
          <w:u w:val="single"/>
        </w:rPr>
        <w:t xml:space="preserve">Promoción de la Transparencia  </w:t>
      </w:r>
    </w:p>
    <w:p w:rsidR="00914B49" w:rsidRPr="00914B49" w:rsidRDefault="00914B49" w:rsidP="00914B49">
      <w:pPr>
        <w:spacing w:after="200" w:line="276" w:lineRule="auto"/>
        <w:jc w:val="both"/>
      </w:pPr>
      <w:r w:rsidRPr="00914B49">
        <w:t xml:space="preserve"> En </w:t>
      </w:r>
      <w:r>
        <w:t xml:space="preserve">este periodo fueron realizadas varias actividades de promoción de la Transparencia institucional como una Mesa de Transparencia con diversas instituciones de la </w:t>
      </w:r>
      <w:r w:rsidR="0071097B">
        <w:t>Administración Pública</w:t>
      </w:r>
      <w:r>
        <w:t xml:space="preserve">, participación </w:t>
      </w:r>
      <w:r w:rsidR="00CD16C6">
        <w:t>en jornada</w:t>
      </w:r>
      <w:r w:rsidR="0071097B">
        <w:t>s en</w:t>
      </w:r>
      <w:r>
        <w:t xml:space="preserve"> materia de Transparencia Gubernamental, Gobierno Abierto y rendición de Cuenta impartido en el Ayuntamiento Municipal de San Pedro de Macorís</w:t>
      </w:r>
      <w:r w:rsidR="0071097B">
        <w:t>, coordinadas por la Dirección General de Ética e Integridad Gubernamental</w:t>
      </w:r>
      <w:r w:rsidR="00CD16C6">
        <w:t>.</w:t>
      </w:r>
    </w:p>
    <w:p w:rsidR="00914B49" w:rsidRDefault="00CD16C6" w:rsidP="0071097B">
      <w:pPr>
        <w:spacing w:after="200" w:line="276" w:lineRule="auto"/>
        <w:jc w:val="center"/>
        <w:rPr>
          <w:b/>
          <w:u w:val="single"/>
        </w:rPr>
      </w:pPr>
      <w:r w:rsidRPr="002618AB">
        <w:rPr>
          <w:noProof/>
          <w:lang w:eastAsia="es-DO"/>
        </w:rPr>
        <w:drawing>
          <wp:inline distT="0" distB="0" distL="0" distR="0" wp14:anchorId="6B92FA20" wp14:editId="0092A0C1">
            <wp:extent cx="4237990" cy="3150585"/>
            <wp:effectExtent l="0" t="0" r="0" b="0"/>
            <wp:docPr id="2" name="Imagen 2" descr="C:\Users\lmejia\Desktop\Foto actividad, Mesa de Transparencia de la Seguridad Soci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jia\Desktop\Foto actividad, Mesa de Transparencia de la Seguridad Social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115" cy="31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60" w:rsidRPr="00AE2DD0" w:rsidRDefault="00AE2DD0" w:rsidP="00AE2DD0">
      <w:pPr>
        <w:spacing w:after="200" w:line="276" w:lineRule="auto"/>
        <w:ind w:left="993" w:right="849"/>
        <w:jc w:val="both"/>
        <w:rPr>
          <w:rFonts w:cstheme="minorHAnsi"/>
          <w:sz w:val="14"/>
        </w:rPr>
      </w:pPr>
      <w:r>
        <w:rPr>
          <w:rFonts w:cstheme="minorHAnsi"/>
          <w:sz w:val="14"/>
        </w:rPr>
        <w:t>Comenzando de</w:t>
      </w:r>
      <w:r w:rsidR="00A4773E" w:rsidRPr="00AE2DD0">
        <w:rPr>
          <w:rFonts w:cstheme="minorHAnsi"/>
          <w:sz w:val="14"/>
        </w:rPr>
        <w:t xml:space="preserve"> derecha</w:t>
      </w:r>
      <w:r>
        <w:rPr>
          <w:rFonts w:cstheme="minorHAnsi"/>
          <w:sz w:val="14"/>
        </w:rPr>
        <w:t xml:space="preserve"> a izquierda</w:t>
      </w:r>
      <w:r w:rsidR="00A4773E" w:rsidRPr="00AE2DD0">
        <w:rPr>
          <w:rFonts w:cstheme="minorHAnsi"/>
          <w:sz w:val="14"/>
        </w:rPr>
        <w:t xml:space="preserve">, Lic. </w:t>
      </w:r>
      <w:r w:rsidR="00623B09" w:rsidRPr="00AE2DD0">
        <w:rPr>
          <w:rFonts w:cstheme="minorHAnsi"/>
          <w:sz w:val="14"/>
        </w:rPr>
        <w:t xml:space="preserve">Santiago de Aza, RAI </w:t>
      </w:r>
      <w:r w:rsidR="002227BD" w:rsidRPr="00AE2DD0">
        <w:rPr>
          <w:rFonts w:cstheme="minorHAnsi"/>
          <w:sz w:val="14"/>
        </w:rPr>
        <w:t xml:space="preserve">del Consejo Nacional para el VIH y </w:t>
      </w:r>
      <w:r w:rsidRPr="00AE2DD0">
        <w:rPr>
          <w:rFonts w:cstheme="minorHAnsi"/>
          <w:sz w:val="14"/>
        </w:rPr>
        <w:t>el SIDA</w:t>
      </w:r>
      <w:r w:rsidR="00B67860" w:rsidRPr="00AE2DD0">
        <w:rPr>
          <w:rFonts w:cstheme="minorHAnsi"/>
          <w:sz w:val="14"/>
        </w:rPr>
        <w:t xml:space="preserve">, </w:t>
      </w:r>
      <w:r w:rsidR="00B67860" w:rsidRPr="00AE2DD0">
        <w:rPr>
          <w:rStyle w:val="Textoennegrita"/>
          <w:rFonts w:cstheme="minorHAnsi"/>
          <w:b w:val="0"/>
          <w:color w:val="222222"/>
          <w:sz w:val="14"/>
          <w:shd w:val="clear" w:color="auto" w:fill="FFFFFF"/>
        </w:rPr>
        <w:t xml:space="preserve">Luis Rafael Vílchez </w:t>
      </w:r>
      <w:r w:rsidRPr="00AE2DD0">
        <w:rPr>
          <w:rStyle w:val="Textoennegrita"/>
          <w:rFonts w:cstheme="minorHAnsi"/>
          <w:b w:val="0"/>
          <w:color w:val="222222"/>
          <w:sz w:val="14"/>
          <w:shd w:val="clear" w:color="auto" w:fill="FFFFFF"/>
        </w:rPr>
        <w:t>Morandini</w:t>
      </w:r>
      <w:r w:rsidR="00B67860" w:rsidRPr="00AE2DD0">
        <w:rPr>
          <w:rStyle w:val="Textoennegrita"/>
          <w:rFonts w:cstheme="minorHAnsi"/>
          <w:b w:val="0"/>
          <w:color w:val="222222"/>
          <w:sz w:val="14"/>
          <w:shd w:val="clear" w:color="auto" w:fill="FFFFFF"/>
        </w:rPr>
        <w:t xml:space="preserve"> RAI del</w:t>
      </w:r>
      <w:r>
        <w:rPr>
          <w:rStyle w:val="Textoennegrita"/>
          <w:rFonts w:cstheme="minorHAnsi"/>
          <w:b w:val="0"/>
          <w:color w:val="222222"/>
          <w:sz w:val="14"/>
          <w:shd w:val="clear" w:color="auto" w:fill="FFFFFF"/>
        </w:rPr>
        <w:t xml:space="preserve"> Tribunal Superior Electoral, </w:t>
      </w:r>
      <w:r w:rsidRPr="00AE2DD0">
        <w:rPr>
          <w:rStyle w:val="Textoennegrita"/>
          <w:rFonts w:cstheme="minorHAnsi"/>
          <w:b w:val="0"/>
          <w:color w:val="222222"/>
          <w:sz w:val="14"/>
          <w:shd w:val="clear" w:color="auto" w:fill="FFFFFF"/>
        </w:rPr>
        <w:t>Licda.</w:t>
      </w:r>
      <w:r w:rsidR="00B67860" w:rsidRPr="00AE2DD0">
        <w:rPr>
          <w:rFonts w:cstheme="minorHAnsi"/>
          <w:sz w:val="14"/>
        </w:rPr>
        <w:t xml:space="preserve"> Deysi Montero RAI de la Superintendencia de </w:t>
      </w:r>
      <w:r w:rsidRPr="00AE2DD0">
        <w:rPr>
          <w:rFonts w:cstheme="minorHAnsi"/>
          <w:sz w:val="14"/>
        </w:rPr>
        <w:t>Pensiones, Licda.</w:t>
      </w:r>
      <w:r w:rsidR="00B67860" w:rsidRPr="00AE2DD0">
        <w:rPr>
          <w:rFonts w:cstheme="minorHAnsi"/>
          <w:sz w:val="14"/>
        </w:rPr>
        <w:t xml:space="preserve"> Sheilyn Acevedo, RAI de ARS SeNaSa, el Lic. José Miguel Fernández RAI del Consejo Nacional de la Seguridad </w:t>
      </w:r>
      <w:r w:rsidRPr="00AE2DD0">
        <w:rPr>
          <w:rFonts w:cstheme="minorHAnsi"/>
          <w:sz w:val="14"/>
        </w:rPr>
        <w:t>Social y</w:t>
      </w:r>
      <w:r w:rsidR="00B67860" w:rsidRPr="00AE2DD0">
        <w:rPr>
          <w:rFonts w:cstheme="minorHAnsi"/>
          <w:sz w:val="14"/>
        </w:rPr>
        <w:t xml:space="preserve"> el Lic. Henry Núñez RAI del Instituto Nacional de Bienestar Magisterial</w:t>
      </w:r>
      <w:r>
        <w:rPr>
          <w:rFonts w:cstheme="minorHAnsi"/>
          <w:sz w:val="14"/>
        </w:rPr>
        <w:t xml:space="preserve"> INABIMA</w:t>
      </w:r>
      <w:r w:rsidR="00B67860" w:rsidRPr="00AE2DD0">
        <w:rPr>
          <w:rFonts w:cstheme="minorHAnsi"/>
          <w:sz w:val="14"/>
        </w:rPr>
        <w:t>.</w:t>
      </w:r>
    </w:p>
    <w:p w:rsidR="00B67860" w:rsidRPr="003F20D8" w:rsidRDefault="00B67860" w:rsidP="00B67860">
      <w:pPr>
        <w:rPr>
          <w:rFonts w:cstheme="minorHAnsi"/>
        </w:rPr>
      </w:pPr>
    </w:p>
    <w:p w:rsidR="00A4773E" w:rsidRDefault="00A4773E" w:rsidP="00860DF2">
      <w:pPr>
        <w:spacing w:after="200" w:line="276" w:lineRule="auto"/>
        <w:jc w:val="both"/>
        <w:rPr>
          <w:b/>
          <w:u w:val="single"/>
        </w:rPr>
      </w:pPr>
    </w:p>
    <w:p w:rsidR="00A4773E" w:rsidRDefault="00A4773E" w:rsidP="00860DF2">
      <w:pPr>
        <w:spacing w:after="200" w:line="276" w:lineRule="auto"/>
        <w:jc w:val="both"/>
        <w:rPr>
          <w:b/>
          <w:u w:val="single"/>
        </w:rPr>
      </w:pPr>
    </w:p>
    <w:p w:rsidR="00A4773E" w:rsidRDefault="00A4773E" w:rsidP="00860DF2">
      <w:pPr>
        <w:spacing w:after="200" w:line="276" w:lineRule="auto"/>
        <w:jc w:val="both"/>
        <w:rPr>
          <w:b/>
          <w:u w:val="single"/>
        </w:rPr>
      </w:pPr>
    </w:p>
    <w:p w:rsidR="00A4773E" w:rsidRPr="00A4773E" w:rsidRDefault="00A4773E" w:rsidP="00A4773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Charla Empoderamiento Ciudadano</w:t>
      </w:r>
    </w:p>
    <w:p w:rsidR="00A4773E" w:rsidRDefault="00A4773E" w:rsidP="00860DF2">
      <w:pPr>
        <w:spacing w:after="200" w:line="276" w:lineRule="auto"/>
        <w:jc w:val="both"/>
        <w:rPr>
          <w:b/>
          <w:u w:val="single"/>
        </w:rPr>
      </w:pPr>
      <w:r>
        <w:t>En este primer trimestre la OAI, impartió charlas de sensibilización a ciudadanos</w:t>
      </w:r>
      <w:r w:rsidR="00EA7FAE">
        <w:t xml:space="preserve"> en diferentes centros educativos.</w:t>
      </w:r>
      <w:r w:rsidRPr="00A4773E">
        <w:t xml:space="preserve"> </w:t>
      </w:r>
      <w:r w:rsidR="00EA7FAE" w:rsidRPr="00A4773E">
        <w:t>Abarcando</w:t>
      </w:r>
      <w:r>
        <w:t xml:space="preserve"> 356 sensibilizados en materia de transparencia, </w:t>
      </w:r>
      <w:r w:rsidRPr="00A4773E">
        <w:t>gobierno abierto</w:t>
      </w:r>
      <w:r w:rsidR="00D75744">
        <w:t xml:space="preserve"> y rendición de cuenta</w:t>
      </w:r>
      <w:r>
        <w:t>.</w:t>
      </w:r>
    </w:p>
    <w:p w:rsidR="00A4773E" w:rsidRDefault="00A4773E" w:rsidP="0071097B">
      <w:pPr>
        <w:spacing w:after="0" w:line="276" w:lineRule="auto"/>
        <w:jc w:val="both"/>
        <w:rPr>
          <w:b/>
        </w:rPr>
      </w:pPr>
    </w:p>
    <w:p w:rsidR="00A9188D" w:rsidRDefault="00A9188D" w:rsidP="0071097B">
      <w:pPr>
        <w:spacing w:after="0" w:line="276" w:lineRule="auto"/>
        <w:jc w:val="both"/>
        <w:rPr>
          <w:b/>
        </w:rPr>
      </w:pPr>
      <w:r>
        <w:rPr>
          <w:noProof/>
          <w:lang w:eastAsia="es-DO"/>
        </w:rPr>
        <w:drawing>
          <wp:inline distT="0" distB="0" distL="0" distR="0" wp14:anchorId="651DB835" wp14:editId="4030C842">
            <wp:extent cx="5486400" cy="2143125"/>
            <wp:effectExtent l="0" t="0" r="0" b="9525"/>
            <wp:docPr id="9" name="Imagen 9" descr="cid:fab7f3a8-37dd-46f5-b7ae-8e0f0da2015b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ab7f3a8-37dd-46f5-b7ae-8e0f0da2015b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18" cy="21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A9188D" w:rsidRDefault="00A9188D" w:rsidP="0071097B">
      <w:pPr>
        <w:spacing w:after="0" w:line="276" w:lineRule="auto"/>
        <w:jc w:val="both"/>
        <w:rPr>
          <w:b/>
        </w:rPr>
      </w:pPr>
    </w:p>
    <w:p w:rsidR="00A9188D" w:rsidRDefault="00A9188D" w:rsidP="0071097B">
      <w:pPr>
        <w:spacing w:after="0" w:line="276" w:lineRule="auto"/>
        <w:jc w:val="both"/>
        <w:rPr>
          <w:b/>
        </w:rPr>
      </w:pPr>
      <w:bookmarkStart w:id="0" w:name="_GoBack"/>
      <w:bookmarkEnd w:id="0"/>
    </w:p>
    <w:p w:rsidR="00A9188D" w:rsidRDefault="00A9188D" w:rsidP="0071097B">
      <w:pPr>
        <w:spacing w:after="0" w:line="276" w:lineRule="auto"/>
        <w:jc w:val="both"/>
        <w:rPr>
          <w:b/>
        </w:rPr>
      </w:pPr>
    </w:p>
    <w:p w:rsidR="00A4773E" w:rsidRDefault="00A9188D" w:rsidP="0071097B">
      <w:pPr>
        <w:spacing w:after="0" w:line="276" w:lineRule="auto"/>
        <w:jc w:val="both"/>
        <w:rPr>
          <w:b/>
        </w:rPr>
      </w:pPr>
      <w:r>
        <w:rPr>
          <w:noProof/>
          <w:lang w:eastAsia="es-DO"/>
        </w:rPr>
        <w:drawing>
          <wp:inline distT="0" distB="0" distL="0" distR="0" wp14:anchorId="76DA18D0" wp14:editId="27F6D335">
            <wp:extent cx="5400675" cy="2400774"/>
            <wp:effectExtent l="0" t="0" r="0" b="0"/>
            <wp:docPr id="5" name="Imagen 5" descr="cid:272e19c3-7d0c-42a5-b239-ef3cd2565a14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72e19c3-7d0c-42a5-b239-ef3cd2565a14@namprd11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4"/>
                    <a:stretch/>
                  </pic:blipFill>
                  <pic:spPr bwMode="auto">
                    <a:xfrm>
                      <a:off x="0" y="0"/>
                      <a:ext cx="5471008" cy="243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73E" w:rsidRDefault="00A4773E" w:rsidP="0071097B">
      <w:pPr>
        <w:spacing w:after="0" w:line="276" w:lineRule="auto"/>
        <w:jc w:val="both"/>
        <w:rPr>
          <w:b/>
        </w:rPr>
      </w:pPr>
    </w:p>
    <w:p w:rsidR="00A9188D" w:rsidRDefault="00A9188D" w:rsidP="0071097B">
      <w:pPr>
        <w:spacing w:after="0" w:line="276" w:lineRule="auto"/>
        <w:jc w:val="both"/>
        <w:rPr>
          <w:b/>
        </w:rPr>
      </w:pPr>
    </w:p>
    <w:p w:rsidR="00A9188D" w:rsidRDefault="00A9188D" w:rsidP="0071097B">
      <w:pPr>
        <w:spacing w:after="0" w:line="276" w:lineRule="auto"/>
        <w:jc w:val="both"/>
        <w:rPr>
          <w:b/>
        </w:rPr>
      </w:pPr>
    </w:p>
    <w:p w:rsidR="00860DF2" w:rsidRPr="009C2E8A" w:rsidRDefault="00860DF2" w:rsidP="0071097B">
      <w:pPr>
        <w:spacing w:after="0" w:line="276" w:lineRule="auto"/>
        <w:jc w:val="both"/>
      </w:pPr>
      <w:r w:rsidRPr="009C2E8A">
        <w:rPr>
          <w:b/>
        </w:rPr>
        <w:t>Elaborado por:</w:t>
      </w:r>
      <w:r w:rsidRPr="009C2E8A">
        <w:t xml:space="preserve"> Lupe Mejia</w:t>
      </w:r>
    </w:p>
    <w:p w:rsidR="00860DF2" w:rsidRPr="009C2E8A" w:rsidRDefault="00860DF2" w:rsidP="0071097B">
      <w:pPr>
        <w:spacing w:after="0" w:line="276" w:lineRule="auto"/>
        <w:jc w:val="both"/>
      </w:pPr>
      <w:r w:rsidRPr="009C2E8A">
        <w:rPr>
          <w:b/>
        </w:rPr>
        <w:t>Revisado por</w:t>
      </w:r>
      <w:r w:rsidRPr="009C2E8A">
        <w:t xml:space="preserve">: </w:t>
      </w:r>
      <w:r>
        <w:t>Sheilyn Acevedo</w:t>
      </w:r>
    </w:p>
    <w:p w:rsidR="00860DF2" w:rsidRPr="009C2E8A" w:rsidRDefault="00860DF2" w:rsidP="0071097B">
      <w:pPr>
        <w:spacing w:after="0" w:line="276" w:lineRule="auto"/>
        <w:jc w:val="both"/>
      </w:pPr>
      <w:r w:rsidRPr="009C2E8A">
        <w:rPr>
          <w:b/>
        </w:rPr>
        <w:t>Fecha:</w:t>
      </w:r>
      <w:r w:rsidR="00A4773E">
        <w:t xml:space="preserve"> 09</w:t>
      </w:r>
      <w:r w:rsidR="007619AD">
        <w:t>/04/2018</w:t>
      </w:r>
      <w:r w:rsidRPr="009C2E8A">
        <w:t>.</w:t>
      </w:r>
    </w:p>
    <w:p w:rsidR="00860DF2" w:rsidRDefault="00860DF2" w:rsidP="00860DF2"/>
    <w:p w:rsidR="00B44A42" w:rsidRDefault="007F73C1"/>
    <w:sectPr w:rsidR="00B44A42" w:rsidSect="00283177">
      <w:footerReference w:type="default" r:id="rId1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C1" w:rsidRDefault="007F73C1" w:rsidP="00D00B75">
      <w:pPr>
        <w:spacing w:after="0" w:line="240" w:lineRule="auto"/>
      </w:pPr>
      <w:r>
        <w:separator/>
      </w:r>
    </w:p>
  </w:endnote>
  <w:endnote w:type="continuationSeparator" w:id="0">
    <w:p w:rsidR="007F73C1" w:rsidRDefault="007F73C1" w:rsidP="00D0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75" w:rsidRDefault="00D00B75">
    <w:pPr>
      <w:pStyle w:val="Piedepgina"/>
    </w:pPr>
    <w:r>
      <w:t>Informe Trimestral Oficina de Acceso a la Información, Enero-Marzo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C1" w:rsidRDefault="007F73C1" w:rsidP="00D00B75">
      <w:pPr>
        <w:spacing w:after="0" w:line="240" w:lineRule="auto"/>
      </w:pPr>
      <w:r>
        <w:separator/>
      </w:r>
    </w:p>
  </w:footnote>
  <w:footnote w:type="continuationSeparator" w:id="0">
    <w:p w:rsidR="007F73C1" w:rsidRDefault="007F73C1" w:rsidP="00D0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E4C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91F292D"/>
    <w:multiLevelType w:val="hybridMultilevel"/>
    <w:tmpl w:val="0F1E59BE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F2"/>
    <w:rsid w:val="002227BD"/>
    <w:rsid w:val="00283177"/>
    <w:rsid w:val="002C355C"/>
    <w:rsid w:val="002D3963"/>
    <w:rsid w:val="002E7184"/>
    <w:rsid w:val="00372B2F"/>
    <w:rsid w:val="003A26BC"/>
    <w:rsid w:val="004D5E3B"/>
    <w:rsid w:val="00573D38"/>
    <w:rsid w:val="005C7D4F"/>
    <w:rsid w:val="00623B09"/>
    <w:rsid w:val="0071097B"/>
    <w:rsid w:val="007619AD"/>
    <w:rsid w:val="007F73C1"/>
    <w:rsid w:val="0081788C"/>
    <w:rsid w:val="00860DF2"/>
    <w:rsid w:val="00914B49"/>
    <w:rsid w:val="00970493"/>
    <w:rsid w:val="00A4773E"/>
    <w:rsid w:val="00A63B87"/>
    <w:rsid w:val="00A9188D"/>
    <w:rsid w:val="00AE2DD0"/>
    <w:rsid w:val="00B67860"/>
    <w:rsid w:val="00C73A87"/>
    <w:rsid w:val="00CD16C6"/>
    <w:rsid w:val="00CD63E6"/>
    <w:rsid w:val="00D00B75"/>
    <w:rsid w:val="00D6098D"/>
    <w:rsid w:val="00D626B4"/>
    <w:rsid w:val="00D75744"/>
    <w:rsid w:val="00DD57E0"/>
    <w:rsid w:val="00E57183"/>
    <w:rsid w:val="00EA7FAE"/>
    <w:rsid w:val="00F073E0"/>
    <w:rsid w:val="00F176BA"/>
    <w:rsid w:val="00F55158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065A-6A61-4A27-A8BC-1ED55EE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B75"/>
  </w:style>
  <w:style w:type="paragraph" w:styleId="Piedepgina">
    <w:name w:val="footer"/>
    <w:basedOn w:val="Normal"/>
    <w:link w:val="PiedepginaCar"/>
    <w:uiPriority w:val="99"/>
    <w:unhideWhenUsed/>
    <w:rsid w:val="00D0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B75"/>
  </w:style>
  <w:style w:type="paragraph" w:styleId="Prrafodelista">
    <w:name w:val="List Paragraph"/>
    <w:basedOn w:val="Normal"/>
    <w:uiPriority w:val="34"/>
    <w:qFormat/>
    <w:rsid w:val="007619A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5C7D4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5C7D4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7D4F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5C7D4F"/>
    <w:rPr>
      <w:rFonts w:eastAsiaTheme="minorEastAsia" w:cs="Times New Roman"/>
      <w:color w:val="5A5A5A" w:themeColor="text1" w:themeTint="A5"/>
      <w:spacing w:val="15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2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cid:272e19c3-7d0c-42a5-b239-ef3cd2565a14@namprd11.prod.outl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cid:fab7f3a8-37dd-46f5-b7ae-8e0f0da2015b@namprd11.prod.outlook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mejia\Desktop\GRAFICOS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Porcentaje de solicitudes de acceso</a:t>
            </a:r>
            <a:r>
              <a:rPr lang="es-DO" baseline="0"/>
              <a:t> a la información durante el primer trimestre enero-marzo 2018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.3944444444444444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4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3333333333333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Hoja1!$A$540:$A$542</c:f>
              <c:strCache>
                <c:ptCount val="3"/>
                <c:pt idx="0">
                  <c:v>Completadas </c:v>
                </c:pt>
                <c:pt idx="1">
                  <c:v>Rechazadas</c:v>
                </c:pt>
                <c:pt idx="2">
                  <c:v>En proceso</c:v>
                </c:pt>
              </c:strCache>
            </c:strRef>
          </c:cat>
          <c:val>
            <c:numRef>
              <c:f>Hoja1!$B$540:$B$542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38759136"/>
        <c:axId val="-1838785792"/>
        <c:axId val="0"/>
      </c:bar3DChart>
      <c:catAx>
        <c:axId val="-1838759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838785792"/>
        <c:crosses val="autoZero"/>
        <c:auto val="1"/>
        <c:lblAlgn val="ctr"/>
        <c:lblOffset val="100"/>
        <c:noMultiLvlLbl val="0"/>
      </c:catAx>
      <c:valAx>
        <c:axId val="-1838785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83875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Días transcurridos entre la solicitud y la entrega de información Enero-Marzo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7E-46F6-92BE-B578108282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7E-46F6-92BE-B578108282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7E-46F6-92BE-B578108282BD}"/>
              </c:ext>
            </c:extLst>
          </c:dPt>
          <c:dLbls>
            <c:dLbl>
              <c:idx val="0"/>
              <c:layout>
                <c:manualLayout>
                  <c:x val="-2.7979002624671915E-3"/>
                  <c:y val="-2.6640419947506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37E-46F6-92BE-B578108282B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371609798775154E-2"/>
                  <c:y val="-6.9269466316710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37E-46F6-92BE-B578108282B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998687664042001E-2"/>
                  <c:y val="-1.883420822397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37E-46F6-92BE-B578108282B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Hoja1!$A$476:$A$478</c:f>
              <c:strCache>
                <c:ptCount val="3"/>
                <c:pt idx="0">
                  <c:v>Menos de 5 días </c:v>
                </c:pt>
                <c:pt idx="1">
                  <c:v>Entre 6 y 10 días</c:v>
                </c:pt>
                <c:pt idx="2">
                  <c:v>Entre 10 y 15 días</c:v>
                </c:pt>
              </c:strCache>
            </c:strRef>
          </c:cat>
          <c:val>
            <c:numRef>
              <c:f>Hoja1!$B$476:$B$478</c:f>
              <c:numCache>
                <c:formatCode>0%</c:formatCode>
                <c:ptCount val="3"/>
                <c:pt idx="0">
                  <c:v>0.66</c:v>
                </c:pt>
                <c:pt idx="1">
                  <c:v>0.19</c:v>
                </c:pt>
                <c:pt idx="2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37E-46F6-92BE-B57810828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Tipo de inforación solictada en el Primer Trimestre Enero-Marzo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Hoja1!$A$499:$A$506</c:f>
              <c:strCache>
                <c:ptCount val="8"/>
                <c:pt idx="0">
                  <c:v>Información general de la Institución</c:v>
                </c:pt>
                <c:pt idx="1">
                  <c:v>Cantidad de afiliados Régimen Cont. Régimen Sub.</c:v>
                </c:pt>
                <c:pt idx="2">
                  <c:v>Información Gerencia de  Salud</c:v>
                </c:pt>
                <c:pt idx="3">
                  <c:v>Inforación Gerencia Financiera </c:v>
                </c:pt>
                <c:pt idx="4">
                  <c:v>Información Gerencia de Calidad </c:v>
                </c:pt>
                <c:pt idx="5">
                  <c:v>Informqación Gerencia de Planificación </c:v>
                </c:pt>
                <c:pt idx="6">
                  <c:v>Información Gerencia de Comunicaiones </c:v>
                </c:pt>
                <c:pt idx="7">
                  <c:v>Consultoría Jurídica</c:v>
                </c:pt>
              </c:strCache>
            </c:strRef>
          </c:cat>
          <c:val>
            <c:numRef>
              <c:f>Hoja1!$B$499:$B$506</c:f>
              <c:numCache>
                <c:formatCode>0%</c:formatCode>
                <c:ptCount val="8"/>
                <c:pt idx="0">
                  <c:v>0.19</c:v>
                </c:pt>
                <c:pt idx="1">
                  <c:v>0.18</c:v>
                </c:pt>
                <c:pt idx="2">
                  <c:v>0.05</c:v>
                </c:pt>
                <c:pt idx="3">
                  <c:v>0.19</c:v>
                </c:pt>
                <c:pt idx="4">
                  <c:v>0.05</c:v>
                </c:pt>
                <c:pt idx="5">
                  <c:v>0.24</c:v>
                </c:pt>
                <c:pt idx="6">
                  <c:v>0.05</c:v>
                </c:pt>
                <c:pt idx="7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53-4B05-8489-4B91159E2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38770560"/>
        <c:axId val="-1838779808"/>
      </c:barChart>
      <c:catAx>
        <c:axId val="-183877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838779808"/>
        <c:crosses val="autoZero"/>
        <c:auto val="1"/>
        <c:lblAlgn val="ctr"/>
        <c:lblOffset val="100"/>
        <c:noMultiLvlLbl val="0"/>
      </c:catAx>
      <c:valAx>
        <c:axId val="-18387798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183877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Mejia</dc:creator>
  <cp:keywords/>
  <dc:description/>
  <cp:lastModifiedBy>Lupe Mejia</cp:lastModifiedBy>
  <cp:revision>3</cp:revision>
  <dcterms:created xsi:type="dcterms:W3CDTF">2018-04-11T20:03:00Z</dcterms:created>
  <dcterms:modified xsi:type="dcterms:W3CDTF">2018-04-11T20:58:00Z</dcterms:modified>
</cp:coreProperties>
</file>